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FA" w:rsidRPr="008D3FFA" w:rsidRDefault="008D3FFA" w:rsidP="008D3FF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8D3FFA">
        <w:rPr>
          <w:rFonts w:ascii="Times New Roman" w:eastAsia="Times New Roman" w:hAnsi="Times New Roman" w:cs="Times New Roman"/>
          <w:b/>
          <w:bCs/>
          <w:color w:val="212529"/>
          <w:kern w:val="36"/>
          <w:sz w:val="48"/>
          <w:szCs w:val="48"/>
          <w:lang w:val="es-MX"/>
        </w:rPr>
        <w:t>Deuteronomy</w:t>
      </w:r>
      <w:proofErr w:type="spellEnd"/>
      <w:r w:rsidRPr="008D3FFA">
        <w:rPr>
          <w:rFonts w:ascii="Times New Roman" w:eastAsia="Times New Roman" w:hAnsi="Times New Roman" w:cs="Times New Roman"/>
          <w:b/>
          <w:bCs/>
          <w:color w:val="212529"/>
          <w:kern w:val="36"/>
          <w:sz w:val="48"/>
          <w:szCs w:val="48"/>
          <w:lang w:val="es-MX"/>
        </w:rPr>
        <w:t xml:space="preserve"> 12:17-19</w:t>
      </w:r>
    </w:p>
    <w:p w:rsidR="008D3FFA" w:rsidRDefault="008D3FFA" w:rsidP="008D3FFA">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https://thebiblesays.com/commentary/deut/deut-12/deuteronomy-1217-19/</w:t>
        </w:r>
      </w:hyperlink>
    </w:p>
    <w:p w:rsidR="008D3FFA" w:rsidRPr="008D3FFA" w:rsidRDefault="008D3FFA" w:rsidP="008D3FFA">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8D3FFA">
        <w:rPr>
          <w:rFonts w:ascii="Arial" w:eastAsia="Times New Roman" w:hAnsi="Arial" w:cs="Arial"/>
          <w:i/>
          <w:iCs/>
          <w:color w:val="212529"/>
          <w:sz w:val="27"/>
          <w:szCs w:val="27"/>
        </w:rPr>
        <w:t>Moses warns Israel against eating sacrifices within their gates. This act is to be done before the Suzerain God in the sanctuary as a way of thanking Him for His provisions.</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t>Although the Suzerain God with whom Israel had a covenant allowed the Israelites to slaughter and eat non-sacrificial food at home, He warned them against consuming sacrificial food at home. Moses said to Israel, </w:t>
      </w:r>
      <w:r w:rsidRPr="008D3FFA">
        <w:rPr>
          <w:rFonts w:ascii="Arial" w:eastAsia="Times New Roman" w:hAnsi="Arial" w:cs="Arial"/>
          <w:i/>
          <w:iCs/>
          <w:color w:val="212529"/>
          <w:sz w:val="27"/>
          <w:szCs w:val="27"/>
        </w:rPr>
        <w:t>You are not allowed to eat within your gates the tithe of your grain or new wine or oil, or the firstborn of your herd or flock, or any of your votive offerings which you vow, or your freewill offerings, or the contribution of your hand</w:t>
      </w:r>
      <w:r w:rsidRPr="008D3FFA">
        <w:rPr>
          <w:rFonts w:ascii="Arial" w:eastAsia="Times New Roman" w:hAnsi="Arial" w:cs="Arial"/>
          <w:color w:val="212529"/>
          <w:sz w:val="27"/>
          <w:szCs w:val="27"/>
        </w:rPr>
        <w:t>. There was to be a strict separation between what was offered unto the LORD, and consumed as a part of worship, and what was consumed in the home for daily sustenance.</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t>Why would this be, since God is the LORD of all? It is likely to impress upon Israel the fundamental difference between the Creator God, who designed them and desires to lead them into the ways of life, goodness, and fulfillment, as opposed to the false gods of paganism. Pagan gods are transactional. They promise people can “get their way” if they will sufficiently appease the gods. The LORD God made it clear that the way to life and goodness was not to find ways to manipulate Him. It was to serve Him by following His ways. God knows what is best for us, so we are to follow Him—not the other way around. It is likely that this prohibition is a very tangible and continual way of teaching Israel this lesson.</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t>This prohibition applied to a number of activities. The </w:t>
      </w:r>
      <w:r w:rsidRPr="008D3FFA">
        <w:rPr>
          <w:rFonts w:ascii="Arial" w:eastAsia="Times New Roman" w:hAnsi="Arial" w:cs="Arial"/>
          <w:i/>
          <w:iCs/>
          <w:color w:val="212529"/>
          <w:sz w:val="27"/>
          <w:szCs w:val="27"/>
        </w:rPr>
        <w:t>tithe</w:t>
      </w:r>
      <w:r w:rsidRPr="008D3FFA">
        <w:rPr>
          <w:rFonts w:ascii="Arial" w:eastAsia="Times New Roman" w:hAnsi="Arial" w:cs="Arial"/>
          <w:color w:val="212529"/>
          <w:sz w:val="27"/>
          <w:szCs w:val="27"/>
        </w:rPr>
        <w:t> was a gift in the form of payment of ten percent of any agricultural products (grain, wine, oil). This was to be given in the manner prescribed by God. It was not to be diverted for other uses.</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t>The </w:t>
      </w:r>
      <w:r w:rsidRPr="008D3FFA">
        <w:rPr>
          <w:rFonts w:ascii="Arial" w:eastAsia="Times New Roman" w:hAnsi="Arial" w:cs="Arial"/>
          <w:i/>
          <w:iCs/>
          <w:color w:val="212529"/>
          <w:sz w:val="27"/>
          <w:szCs w:val="27"/>
        </w:rPr>
        <w:t>firstborn</w:t>
      </w:r>
      <w:r w:rsidRPr="008D3FFA">
        <w:rPr>
          <w:rFonts w:ascii="Arial" w:eastAsia="Times New Roman" w:hAnsi="Arial" w:cs="Arial"/>
          <w:color w:val="212529"/>
          <w:sz w:val="27"/>
          <w:szCs w:val="27"/>
        </w:rPr>
        <w:t> of the </w:t>
      </w:r>
      <w:r w:rsidRPr="008D3FFA">
        <w:rPr>
          <w:rFonts w:ascii="Arial" w:eastAsia="Times New Roman" w:hAnsi="Arial" w:cs="Arial"/>
          <w:i/>
          <w:iCs/>
          <w:color w:val="212529"/>
          <w:sz w:val="27"/>
          <w:szCs w:val="27"/>
        </w:rPr>
        <w:t>herd</w:t>
      </w:r>
      <w:r w:rsidRPr="008D3FFA">
        <w:rPr>
          <w:rFonts w:ascii="Arial" w:eastAsia="Times New Roman" w:hAnsi="Arial" w:cs="Arial"/>
          <w:color w:val="212529"/>
          <w:sz w:val="27"/>
          <w:szCs w:val="27"/>
        </w:rPr>
        <w:t> or </w:t>
      </w:r>
      <w:r w:rsidRPr="008D3FFA">
        <w:rPr>
          <w:rFonts w:ascii="Arial" w:eastAsia="Times New Roman" w:hAnsi="Arial" w:cs="Arial"/>
          <w:i/>
          <w:iCs/>
          <w:color w:val="212529"/>
          <w:sz w:val="27"/>
          <w:szCs w:val="27"/>
        </w:rPr>
        <w:t>flock</w:t>
      </w:r>
      <w:r w:rsidRPr="008D3FFA">
        <w:rPr>
          <w:rFonts w:ascii="Arial" w:eastAsia="Times New Roman" w:hAnsi="Arial" w:cs="Arial"/>
          <w:color w:val="212529"/>
          <w:sz w:val="27"/>
          <w:szCs w:val="27"/>
        </w:rPr>
        <w:t> refers to the first-born male oxen, sheep, and goats that the worshiper sacrificed to God (</w:t>
      </w:r>
      <w:hyperlink r:id="rId6" w:tgtFrame="BLB_NW" w:history="1">
        <w:r w:rsidRPr="008D3FFA">
          <w:rPr>
            <w:rFonts w:ascii="Arial" w:eastAsia="Times New Roman" w:hAnsi="Arial" w:cs="Arial"/>
            <w:color w:val="525DDC"/>
            <w:sz w:val="27"/>
            <w:szCs w:val="27"/>
          </w:rPr>
          <w:t>Exodus 13:2</w:t>
        </w:r>
      </w:hyperlink>
      <w:r w:rsidRPr="008D3FFA">
        <w:rPr>
          <w:rFonts w:ascii="Arial" w:eastAsia="Times New Roman" w:hAnsi="Arial" w:cs="Arial"/>
          <w:color w:val="212529"/>
          <w:sz w:val="27"/>
          <w:szCs w:val="27"/>
        </w:rPr>
        <w:t>; </w:t>
      </w:r>
      <w:hyperlink r:id="rId7" w:tgtFrame="BLB_NW" w:history="1">
        <w:r w:rsidRPr="008D3FFA">
          <w:rPr>
            <w:rFonts w:ascii="Arial" w:eastAsia="Times New Roman" w:hAnsi="Arial" w:cs="Arial"/>
            <w:color w:val="525DDC"/>
            <w:sz w:val="27"/>
            <w:szCs w:val="27"/>
          </w:rPr>
          <w:t>Numbers 18:15-18</w:t>
        </w:r>
      </w:hyperlink>
      <w:r w:rsidRPr="008D3FFA">
        <w:rPr>
          <w:rFonts w:ascii="Arial" w:eastAsia="Times New Roman" w:hAnsi="Arial" w:cs="Arial"/>
          <w:color w:val="212529"/>
          <w:sz w:val="27"/>
          <w:szCs w:val="27"/>
        </w:rPr>
        <w:t>). These were to be offered in the prescribed manner. Israel was not allowed to do work-arounds, such as sacrificing the </w:t>
      </w:r>
      <w:r w:rsidRPr="008D3FFA">
        <w:rPr>
          <w:rFonts w:ascii="Arial" w:eastAsia="Times New Roman" w:hAnsi="Arial" w:cs="Arial"/>
          <w:i/>
          <w:iCs/>
          <w:color w:val="212529"/>
          <w:sz w:val="27"/>
          <w:szCs w:val="27"/>
        </w:rPr>
        <w:t>firstborn </w:t>
      </w:r>
      <w:r w:rsidRPr="008D3FFA">
        <w:rPr>
          <w:rFonts w:ascii="Arial" w:eastAsia="Times New Roman" w:hAnsi="Arial" w:cs="Arial"/>
          <w:color w:val="212529"/>
          <w:sz w:val="27"/>
          <w:szCs w:val="27"/>
        </w:rPr>
        <w:t>of the </w:t>
      </w:r>
      <w:r w:rsidRPr="008D3FFA">
        <w:rPr>
          <w:rFonts w:ascii="Arial" w:eastAsia="Times New Roman" w:hAnsi="Arial" w:cs="Arial"/>
          <w:i/>
          <w:iCs/>
          <w:color w:val="212529"/>
          <w:sz w:val="27"/>
          <w:szCs w:val="27"/>
        </w:rPr>
        <w:t>herd </w:t>
      </w:r>
      <w:r w:rsidRPr="008D3FFA">
        <w:rPr>
          <w:rFonts w:ascii="Arial" w:eastAsia="Times New Roman" w:hAnsi="Arial" w:cs="Arial"/>
          <w:color w:val="212529"/>
          <w:sz w:val="27"/>
          <w:szCs w:val="27"/>
        </w:rPr>
        <w:t>or </w:t>
      </w:r>
      <w:r w:rsidRPr="008D3FFA">
        <w:rPr>
          <w:rFonts w:ascii="Arial" w:eastAsia="Times New Roman" w:hAnsi="Arial" w:cs="Arial"/>
          <w:i/>
          <w:iCs/>
          <w:color w:val="212529"/>
          <w:sz w:val="27"/>
          <w:szCs w:val="27"/>
        </w:rPr>
        <w:t>flock </w:t>
      </w:r>
      <w:r w:rsidRPr="008D3FFA">
        <w:rPr>
          <w:rFonts w:ascii="Arial" w:eastAsia="Times New Roman" w:hAnsi="Arial" w:cs="Arial"/>
          <w:color w:val="212529"/>
          <w:sz w:val="27"/>
          <w:szCs w:val="27"/>
        </w:rPr>
        <w:t>at home so they could eat it as a part of their normal menu.</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lastRenderedPageBreak/>
        <w:t>The </w:t>
      </w:r>
      <w:r w:rsidRPr="008D3FFA">
        <w:rPr>
          <w:rFonts w:ascii="Arial" w:eastAsia="Times New Roman" w:hAnsi="Arial" w:cs="Arial"/>
          <w:i/>
          <w:iCs/>
          <w:color w:val="212529"/>
          <w:sz w:val="27"/>
          <w:szCs w:val="27"/>
        </w:rPr>
        <w:t>votive offerings </w:t>
      </w:r>
      <w:r w:rsidRPr="008D3FFA">
        <w:rPr>
          <w:rFonts w:ascii="Arial" w:eastAsia="Times New Roman" w:hAnsi="Arial" w:cs="Arial"/>
          <w:color w:val="212529"/>
          <w:sz w:val="27"/>
          <w:szCs w:val="27"/>
        </w:rPr>
        <w:t>refer to any offerings made as payment of a vow. These were promised gifts (</w:t>
      </w:r>
      <w:hyperlink r:id="rId8" w:tgtFrame="BLB_NW" w:history="1">
        <w:r w:rsidRPr="008D3FFA">
          <w:rPr>
            <w:rFonts w:ascii="Arial" w:eastAsia="Times New Roman" w:hAnsi="Arial" w:cs="Arial"/>
            <w:color w:val="525DDC"/>
            <w:sz w:val="27"/>
            <w:szCs w:val="27"/>
          </w:rPr>
          <w:t>Numbers 30:3</w:t>
        </w:r>
      </w:hyperlink>
      <w:r w:rsidRPr="008D3FFA">
        <w:rPr>
          <w:rFonts w:ascii="Arial" w:eastAsia="Times New Roman" w:hAnsi="Arial" w:cs="Arial"/>
          <w:color w:val="212529"/>
          <w:sz w:val="27"/>
          <w:szCs w:val="27"/>
        </w:rPr>
        <w:t>, </w:t>
      </w:r>
      <w:hyperlink r:id="rId9" w:tgtFrame="BLB_NW" w:history="1">
        <w:r w:rsidRPr="008D3FFA">
          <w:rPr>
            <w:rFonts w:ascii="Arial" w:eastAsia="Times New Roman" w:hAnsi="Arial" w:cs="Arial"/>
            <w:color w:val="525DDC"/>
            <w:sz w:val="27"/>
            <w:szCs w:val="27"/>
          </w:rPr>
          <w:t>4</w:t>
        </w:r>
      </w:hyperlink>
      <w:r w:rsidRPr="008D3FFA">
        <w:rPr>
          <w:rFonts w:ascii="Arial" w:eastAsia="Times New Roman" w:hAnsi="Arial" w:cs="Arial"/>
          <w:color w:val="212529"/>
          <w:sz w:val="27"/>
          <w:szCs w:val="27"/>
        </w:rPr>
        <w:t>; </w:t>
      </w:r>
      <w:hyperlink r:id="rId10" w:tgtFrame="BLB_NW" w:history="1">
        <w:r w:rsidRPr="008D3FFA">
          <w:rPr>
            <w:rFonts w:ascii="Arial" w:eastAsia="Times New Roman" w:hAnsi="Arial" w:cs="Arial"/>
            <w:color w:val="525DDC"/>
            <w:sz w:val="27"/>
            <w:szCs w:val="27"/>
          </w:rPr>
          <w:t>Deuteronomy 12:11</w:t>
        </w:r>
      </w:hyperlink>
      <w:r w:rsidRPr="008D3FFA">
        <w:rPr>
          <w:rFonts w:ascii="Arial" w:eastAsia="Times New Roman" w:hAnsi="Arial" w:cs="Arial"/>
          <w:color w:val="212529"/>
          <w:sz w:val="27"/>
          <w:szCs w:val="27"/>
        </w:rPr>
        <w:t>). They were only to be paid in the prescribed manner. No home option was allowed. The </w:t>
      </w:r>
      <w:r w:rsidRPr="008D3FFA">
        <w:rPr>
          <w:rFonts w:ascii="Arial" w:eastAsia="Times New Roman" w:hAnsi="Arial" w:cs="Arial"/>
          <w:i/>
          <w:iCs/>
          <w:color w:val="212529"/>
          <w:sz w:val="27"/>
          <w:szCs w:val="27"/>
        </w:rPr>
        <w:t>freewill offerings</w:t>
      </w:r>
      <w:r w:rsidRPr="008D3FFA">
        <w:rPr>
          <w:rFonts w:ascii="Arial" w:eastAsia="Times New Roman" w:hAnsi="Arial" w:cs="Arial"/>
          <w:color w:val="212529"/>
          <w:sz w:val="27"/>
          <w:szCs w:val="27"/>
        </w:rPr>
        <w:t> were gifts that were not legally required, which could be any sacrifices. They were free to offer them, but only in the manner prescribed by God at the place of worship He would direct. </w:t>
      </w:r>
      <w:r w:rsidRPr="008D3FFA">
        <w:rPr>
          <w:rFonts w:ascii="Arial" w:eastAsia="Times New Roman" w:hAnsi="Arial" w:cs="Arial"/>
          <w:i/>
          <w:iCs/>
          <w:color w:val="212529"/>
          <w:sz w:val="27"/>
          <w:szCs w:val="27"/>
        </w:rPr>
        <w:t>The contribution of your hand </w:t>
      </w:r>
      <w:r w:rsidRPr="008D3FFA">
        <w:rPr>
          <w:rFonts w:ascii="Arial" w:eastAsia="Times New Roman" w:hAnsi="Arial" w:cs="Arial"/>
          <w:color w:val="212529"/>
          <w:sz w:val="27"/>
          <w:szCs w:val="27"/>
        </w:rPr>
        <w:t>refers to a portion that was set apart from the larger portions and dedicated to the priests (</w:t>
      </w:r>
      <w:hyperlink r:id="rId11" w:tgtFrame="BLB_NW" w:history="1">
        <w:r w:rsidRPr="008D3FFA">
          <w:rPr>
            <w:rFonts w:ascii="Arial" w:eastAsia="Times New Roman" w:hAnsi="Arial" w:cs="Arial"/>
            <w:color w:val="525DDC"/>
            <w:sz w:val="27"/>
            <w:szCs w:val="27"/>
          </w:rPr>
          <w:t>Leviticus 7:14</w:t>
        </w:r>
      </w:hyperlink>
      <w:r w:rsidRPr="008D3FFA">
        <w:rPr>
          <w:rFonts w:ascii="Arial" w:eastAsia="Times New Roman" w:hAnsi="Arial" w:cs="Arial"/>
          <w:color w:val="212529"/>
          <w:sz w:val="27"/>
          <w:szCs w:val="27"/>
        </w:rPr>
        <w:t>); the “wave” or “lifted up” offerings. The priests might be local, but they were all to go to the prescribed location before the wave offering could be collected by the Levites.</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t>In each case, it is clear that Israel is to seek God’s ways, rather than seeking to manipulate God’s power to support their ways (as with pagan gods).</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t>The Israelites were commanded to eat all these offerings </w:t>
      </w:r>
      <w:r w:rsidRPr="008D3FFA">
        <w:rPr>
          <w:rFonts w:ascii="Arial" w:eastAsia="Times New Roman" w:hAnsi="Arial" w:cs="Arial"/>
          <w:i/>
          <w:iCs/>
          <w:color w:val="212529"/>
          <w:sz w:val="27"/>
          <w:szCs w:val="27"/>
        </w:rPr>
        <w:t>before the LORD your God in the place which the LORD your God will choose</w:t>
      </w:r>
      <w:r w:rsidRPr="008D3FFA">
        <w:rPr>
          <w:rFonts w:ascii="Arial" w:eastAsia="Times New Roman" w:hAnsi="Arial" w:cs="Arial"/>
          <w:color w:val="212529"/>
          <w:sz w:val="27"/>
          <w:szCs w:val="27"/>
        </w:rPr>
        <w:t>. Moses told them that the meal included </w:t>
      </w:r>
      <w:r w:rsidRPr="008D3FFA">
        <w:rPr>
          <w:rFonts w:ascii="Arial" w:eastAsia="Times New Roman" w:hAnsi="Arial" w:cs="Arial"/>
          <w:i/>
          <w:iCs/>
          <w:color w:val="212529"/>
          <w:sz w:val="27"/>
          <w:szCs w:val="27"/>
        </w:rPr>
        <w:t>you and your son and daughter, and your male and female servants</w:t>
      </w:r>
      <w:r w:rsidRPr="008D3FFA">
        <w:rPr>
          <w:rFonts w:ascii="Arial" w:eastAsia="Times New Roman" w:hAnsi="Arial" w:cs="Arial"/>
          <w:color w:val="212529"/>
          <w:sz w:val="27"/>
          <w:szCs w:val="27"/>
        </w:rPr>
        <w:t>. In other words, everyone in the household was to eat the offerings together in the LORD’s presence.</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t>The household celebration was to include </w:t>
      </w:r>
      <w:r w:rsidRPr="008D3FFA">
        <w:rPr>
          <w:rFonts w:ascii="Arial" w:eastAsia="Times New Roman" w:hAnsi="Arial" w:cs="Arial"/>
          <w:i/>
          <w:iCs/>
          <w:color w:val="212529"/>
          <w:sz w:val="27"/>
          <w:szCs w:val="27"/>
        </w:rPr>
        <w:t>the Levite who is within your gates</w:t>
      </w:r>
      <w:r w:rsidRPr="008D3FFA">
        <w:rPr>
          <w:rFonts w:ascii="Arial" w:eastAsia="Times New Roman" w:hAnsi="Arial" w:cs="Arial"/>
          <w:color w:val="212529"/>
          <w:sz w:val="27"/>
          <w:szCs w:val="27"/>
        </w:rPr>
        <w:t>. This was because the Levites depended upon the tithes, offerings, and dues of the other tribes for their livelihood (</w:t>
      </w:r>
      <w:hyperlink r:id="rId12" w:tgtFrame="BLB_NW" w:history="1">
        <w:r w:rsidRPr="008D3FFA">
          <w:rPr>
            <w:rFonts w:ascii="Arial" w:eastAsia="Times New Roman" w:hAnsi="Arial" w:cs="Arial"/>
            <w:color w:val="525DDC"/>
            <w:sz w:val="27"/>
            <w:szCs w:val="27"/>
          </w:rPr>
          <w:t>Numbers 18:21-24</w:t>
        </w:r>
      </w:hyperlink>
      <w:r w:rsidRPr="008D3FFA">
        <w:rPr>
          <w:rFonts w:ascii="Arial" w:eastAsia="Times New Roman" w:hAnsi="Arial" w:cs="Arial"/>
          <w:color w:val="212529"/>
          <w:sz w:val="27"/>
          <w:szCs w:val="27"/>
        </w:rPr>
        <w:t>). In Deuteronomy, Moses reminded the Israelites of their responsibilities to provide for the Levite </w:t>
      </w:r>
      <w:r w:rsidRPr="008D3FFA">
        <w:rPr>
          <w:rFonts w:ascii="Arial" w:eastAsia="Times New Roman" w:hAnsi="Arial" w:cs="Arial"/>
          <w:i/>
          <w:iCs/>
          <w:color w:val="212529"/>
          <w:sz w:val="27"/>
          <w:szCs w:val="27"/>
        </w:rPr>
        <w:t>since he has no portion or inheritance with </w:t>
      </w:r>
      <w:r w:rsidRPr="008D3FFA">
        <w:rPr>
          <w:rFonts w:ascii="Arial" w:eastAsia="Times New Roman" w:hAnsi="Arial" w:cs="Arial"/>
          <w:color w:val="212529"/>
          <w:sz w:val="27"/>
          <w:szCs w:val="27"/>
        </w:rPr>
        <w:t>them (</w:t>
      </w:r>
      <w:hyperlink r:id="rId13" w:tgtFrame="BLB_NW" w:history="1">
        <w:r w:rsidRPr="008D3FFA">
          <w:rPr>
            <w:rFonts w:ascii="Arial" w:eastAsia="Times New Roman" w:hAnsi="Arial" w:cs="Arial"/>
            <w:color w:val="525DDC"/>
            <w:sz w:val="27"/>
            <w:szCs w:val="27"/>
          </w:rPr>
          <w:t>Deuteronomy 12:12</w:t>
        </w:r>
      </w:hyperlink>
      <w:r w:rsidRPr="008D3FFA">
        <w:rPr>
          <w:rFonts w:ascii="Arial" w:eastAsia="Times New Roman" w:hAnsi="Arial" w:cs="Arial"/>
          <w:color w:val="212529"/>
          <w:sz w:val="27"/>
          <w:szCs w:val="27"/>
        </w:rPr>
        <w:t>). In essence, this is saying, “You got the Levite’s portion of the land, so you need to share with them your produce from the land.”</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t>Therefore, the worshiper and all his households (including the Levite) were to eat at the prescribed place of worship. The worshiper was to eat with joy in order to thank God for His provisions. Moses declared, </w:t>
      </w:r>
      <w:proofErr w:type="gramStart"/>
      <w:r w:rsidRPr="008D3FFA">
        <w:rPr>
          <w:rFonts w:ascii="Arial" w:eastAsia="Times New Roman" w:hAnsi="Arial" w:cs="Arial"/>
          <w:i/>
          <w:iCs/>
          <w:color w:val="212529"/>
          <w:sz w:val="27"/>
          <w:szCs w:val="27"/>
        </w:rPr>
        <w:t>You</w:t>
      </w:r>
      <w:proofErr w:type="gramEnd"/>
      <w:r w:rsidRPr="008D3FFA">
        <w:rPr>
          <w:rFonts w:ascii="Arial" w:eastAsia="Times New Roman" w:hAnsi="Arial" w:cs="Arial"/>
          <w:i/>
          <w:iCs/>
          <w:color w:val="212529"/>
          <w:sz w:val="27"/>
          <w:szCs w:val="27"/>
        </w:rPr>
        <w:t xml:space="preserve"> shall rejoice before the LORD your God in all your undertakings</w:t>
      </w:r>
      <w:r w:rsidRPr="008D3FFA">
        <w:rPr>
          <w:rFonts w:ascii="Arial" w:eastAsia="Times New Roman" w:hAnsi="Arial" w:cs="Arial"/>
          <w:color w:val="212529"/>
          <w:sz w:val="27"/>
          <w:szCs w:val="27"/>
        </w:rPr>
        <w:t>. The phrase </w:t>
      </w:r>
      <w:r w:rsidRPr="008D3FFA">
        <w:rPr>
          <w:rFonts w:ascii="Arial" w:eastAsia="Times New Roman" w:hAnsi="Arial" w:cs="Arial"/>
          <w:i/>
          <w:iCs/>
          <w:color w:val="212529"/>
          <w:sz w:val="27"/>
          <w:szCs w:val="27"/>
        </w:rPr>
        <w:t>in</w:t>
      </w:r>
      <w:r w:rsidRPr="008D3FFA">
        <w:rPr>
          <w:rFonts w:ascii="Arial" w:eastAsia="Times New Roman" w:hAnsi="Arial" w:cs="Arial"/>
          <w:color w:val="212529"/>
          <w:sz w:val="27"/>
          <w:szCs w:val="27"/>
        </w:rPr>
        <w:t> </w:t>
      </w:r>
      <w:r w:rsidRPr="008D3FFA">
        <w:rPr>
          <w:rFonts w:ascii="Arial" w:eastAsia="Times New Roman" w:hAnsi="Arial" w:cs="Arial"/>
          <w:i/>
          <w:iCs/>
          <w:color w:val="212529"/>
          <w:sz w:val="27"/>
          <w:szCs w:val="27"/>
        </w:rPr>
        <w:t>all</w:t>
      </w:r>
      <w:r w:rsidRPr="008D3FFA">
        <w:rPr>
          <w:rFonts w:ascii="Arial" w:eastAsia="Times New Roman" w:hAnsi="Arial" w:cs="Arial"/>
          <w:color w:val="212529"/>
          <w:sz w:val="27"/>
          <w:szCs w:val="27"/>
        </w:rPr>
        <w:t> </w:t>
      </w:r>
      <w:r w:rsidRPr="008D3FFA">
        <w:rPr>
          <w:rFonts w:ascii="Arial" w:eastAsia="Times New Roman" w:hAnsi="Arial" w:cs="Arial"/>
          <w:i/>
          <w:iCs/>
          <w:color w:val="212529"/>
          <w:sz w:val="27"/>
          <w:szCs w:val="27"/>
        </w:rPr>
        <w:t>your</w:t>
      </w:r>
      <w:r w:rsidRPr="008D3FFA">
        <w:rPr>
          <w:rFonts w:ascii="Arial" w:eastAsia="Times New Roman" w:hAnsi="Arial" w:cs="Arial"/>
          <w:color w:val="212529"/>
          <w:sz w:val="27"/>
          <w:szCs w:val="27"/>
        </w:rPr>
        <w:t> </w:t>
      </w:r>
      <w:r w:rsidRPr="008D3FFA">
        <w:rPr>
          <w:rFonts w:ascii="Arial" w:eastAsia="Times New Roman" w:hAnsi="Arial" w:cs="Arial"/>
          <w:i/>
          <w:iCs/>
          <w:color w:val="212529"/>
          <w:sz w:val="27"/>
          <w:szCs w:val="27"/>
        </w:rPr>
        <w:t>undertakings</w:t>
      </w:r>
      <w:r w:rsidRPr="008D3FFA">
        <w:rPr>
          <w:rFonts w:ascii="Arial" w:eastAsia="Times New Roman" w:hAnsi="Arial" w:cs="Arial"/>
          <w:color w:val="212529"/>
          <w:sz w:val="27"/>
          <w:szCs w:val="27"/>
        </w:rPr>
        <w:t> here is literally translated as “in every outstretching of one’s hand.” It refers to the fruits of man’s labor (</w:t>
      </w:r>
      <w:hyperlink r:id="rId14" w:tgtFrame="BLB_NW" w:history="1">
        <w:r w:rsidRPr="008D3FFA">
          <w:rPr>
            <w:rFonts w:ascii="Arial" w:eastAsia="Times New Roman" w:hAnsi="Arial" w:cs="Arial"/>
            <w:color w:val="525DDC"/>
            <w:sz w:val="27"/>
            <w:szCs w:val="27"/>
          </w:rPr>
          <w:t>Deuteronomy 26:11</w:t>
        </w:r>
      </w:hyperlink>
      <w:r w:rsidRPr="008D3FFA">
        <w:rPr>
          <w:rFonts w:ascii="Arial" w:eastAsia="Times New Roman" w:hAnsi="Arial" w:cs="Arial"/>
          <w:color w:val="212529"/>
          <w:sz w:val="27"/>
          <w:szCs w:val="27"/>
        </w:rPr>
        <w:t>). The Israelites were commanded to eat the products of their labor with gladness </w:t>
      </w:r>
      <w:r w:rsidRPr="008D3FFA">
        <w:rPr>
          <w:rFonts w:ascii="Arial" w:eastAsia="Times New Roman" w:hAnsi="Arial" w:cs="Arial"/>
          <w:i/>
          <w:iCs/>
          <w:color w:val="212529"/>
          <w:sz w:val="27"/>
          <w:szCs w:val="27"/>
        </w:rPr>
        <w:t>before the LORD</w:t>
      </w:r>
      <w:r w:rsidRPr="008D3FFA">
        <w:rPr>
          <w:rFonts w:ascii="Arial" w:eastAsia="Times New Roman" w:hAnsi="Arial" w:cs="Arial"/>
          <w:color w:val="212529"/>
          <w:sz w:val="27"/>
          <w:szCs w:val="27"/>
        </w:rPr>
        <w:t>. This emphasizes that the LORD’s purpose in all these provisions was to lead Israel to live in a manner that led to their maximum fulfillment. God wanted them to </w:t>
      </w:r>
      <w:r w:rsidRPr="008D3FFA">
        <w:rPr>
          <w:rFonts w:ascii="Arial" w:eastAsia="Times New Roman" w:hAnsi="Arial" w:cs="Arial"/>
          <w:i/>
          <w:iCs/>
          <w:color w:val="212529"/>
          <w:sz w:val="27"/>
          <w:szCs w:val="27"/>
        </w:rPr>
        <w:t>rejoice </w:t>
      </w:r>
      <w:r w:rsidRPr="008D3FFA">
        <w:rPr>
          <w:rFonts w:ascii="Arial" w:eastAsia="Times New Roman" w:hAnsi="Arial" w:cs="Arial"/>
          <w:color w:val="212529"/>
          <w:sz w:val="27"/>
          <w:szCs w:val="27"/>
        </w:rPr>
        <w:t>in </w:t>
      </w:r>
      <w:r w:rsidRPr="008D3FFA">
        <w:rPr>
          <w:rFonts w:ascii="Arial" w:eastAsia="Times New Roman" w:hAnsi="Arial" w:cs="Arial"/>
          <w:i/>
          <w:iCs/>
          <w:color w:val="212529"/>
          <w:sz w:val="27"/>
          <w:szCs w:val="27"/>
        </w:rPr>
        <w:t>all </w:t>
      </w:r>
      <w:r w:rsidRPr="008D3FFA">
        <w:rPr>
          <w:rFonts w:ascii="Arial" w:eastAsia="Times New Roman" w:hAnsi="Arial" w:cs="Arial"/>
          <w:color w:val="212529"/>
          <w:sz w:val="27"/>
          <w:szCs w:val="27"/>
        </w:rPr>
        <w:t>their </w:t>
      </w:r>
      <w:r w:rsidRPr="008D3FFA">
        <w:rPr>
          <w:rFonts w:ascii="Arial" w:eastAsia="Times New Roman" w:hAnsi="Arial" w:cs="Arial"/>
          <w:i/>
          <w:iCs/>
          <w:color w:val="212529"/>
          <w:sz w:val="27"/>
          <w:szCs w:val="27"/>
        </w:rPr>
        <w:t>undertakings. </w:t>
      </w:r>
      <w:r w:rsidRPr="008D3FFA">
        <w:rPr>
          <w:rFonts w:ascii="Arial" w:eastAsia="Times New Roman" w:hAnsi="Arial" w:cs="Arial"/>
          <w:color w:val="212529"/>
          <w:sz w:val="27"/>
          <w:szCs w:val="27"/>
        </w:rPr>
        <w:t xml:space="preserve">God’s desire was for every single thing they did to prosper and bring them joy. A major part of this opportunity for joy would stem directly from Israel following God’s Law, which led them to live in a self-governing manner, treating one another with care and respect. Not </w:t>
      </w:r>
      <w:r w:rsidRPr="008D3FFA">
        <w:rPr>
          <w:rFonts w:ascii="Arial" w:eastAsia="Times New Roman" w:hAnsi="Arial" w:cs="Arial"/>
          <w:color w:val="212529"/>
          <w:sz w:val="27"/>
          <w:szCs w:val="27"/>
        </w:rPr>
        <w:lastRenderedPageBreak/>
        <w:t>having to worry about their lives and property being confiscated would be a major contributor to their ability to enjoy the fruits of their labor.</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color w:val="212529"/>
          <w:sz w:val="27"/>
          <w:szCs w:val="27"/>
        </w:rPr>
        <w:t>Once again, Moses told the people to </w:t>
      </w:r>
      <w:r w:rsidRPr="008D3FFA">
        <w:rPr>
          <w:rFonts w:ascii="Arial" w:eastAsia="Times New Roman" w:hAnsi="Arial" w:cs="Arial"/>
          <w:i/>
          <w:iCs/>
          <w:color w:val="212529"/>
          <w:sz w:val="27"/>
          <w:szCs w:val="27"/>
        </w:rPr>
        <w:t>be careful that you do not forsake the Levite as long as you live in your land</w:t>
      </w:r>
      <w:r w:rsidRPr="008D3FFA">
        <w:rPr>
          <w:rFonts w:ascii="Arial" w:eastAsia="Times New Roman" w:hAnsi="Arial" w:cs="Arial"/>
          <w:color w:val="212529"/>
          <w:sz w:val="27"/>
          <w:szCs w:val="27"/>
        </w:rPr>
        <w:t> (v. 19). This repetition was designed to impress upon the people how important it was to support the Levites who ministered before the LORD.</w:t>
      </w:r>
    </w:p>
    <w:p w:rsidR="008D3FFA"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b/>
          <w:bCs/>
          <w:color w:val="212529"/>
          <w:sz w:val="27"/>
          <w:szCs w:val="27"/>
        </w:rPr>
        <w:t>Biblical Text</w:t>
      </w:r>
      <w:r w:rsidRPr="008D3FFA">
        <w:rPr>
          <w:rFonts w:ascii="Arial" w:eastAsia="Times New Roman" w:hAnsi="Arial" w:cs="Arial"/>
          <w:color w:val="212529"/>
          <w:sz w:val="27"/>
          <w:szCs w:val="27"/>
        </w:rPr>
        <w:t>:</w:t>
      </w:r>
    </w:p>
    <w:p w:rsidR="003D4810" w:rsidRPr="008D3FFA" w:rsidRDefault="008D3FFA" w:rsidP="008D3FFA">
      <w:pPr>
        <w:shd w:val="clear" w:color="auto" w:fill="FFFFFF"/>
        <w:spacing w:after="100" w:afterAutospacing="1" w:line="240" w:lineRule="auto"/>
        <w:rPr>
          <w:rFonts w:ascii="Arial" w:eastAsia="Times New Roman" w:hAnsi="Arial" w:cs="Arial"/>
          <w:color w:val="212529"/>
          <w:sz w:val="27"/>
          <w:szCs w:val="27"/>
        </w:rPr>
      </w:pPr>
      <w:r w:rsidRPr="008D3FFA">
        <w:rPr>
          <w:rFonts w:ascii="Arial" w:eastAsia="Times New Roman" w:hAnsi="Arial" w:cs="Arial"/>
          <w:b/>
          <w:bCs/>
          <w:color w:val="212529"/>
          <w:sz w:val="20"/>
          <w:szCs w:val="20"/>
          <w:vertAlign w:val="superscript"/>
        </w:rPr>
        <w:t>17 </w:t>
      </w:r>
      <w:r w:rsidRPr="008D3FFA">
        <w:rPr>
          <w:rFonts w:ascii="Arial" w:eastAsia="Times New Roman" w:hAnsi="Arial" w:cs="Arial"/>
          <w:b/>
          <w:bCs/>
          <w:color w:val="212529"/>
          <w:sz w:val="27"/>
          <w:szCs w:val="27"/>
        </w:rPr>
        <w:t>You are not allowed to eat within your gates the tithe of your grain or new wine or oil, or the firstborn of your herd or flock, or any of your votive offerings which you vow, or your freewill offerings, or the contribution of your hand. </w:t>
      </w:r>
      <w:r w:rsidRPr="008D3FFA">
        <w:rPr>
          <w:rFonts w:ascii="Arial" w:eastAsia="Times New Roman" w:hAnsi="Arial" w:cs="Arial"/>
          <w:b/>
          <w:bCs/>
          <w:color w:val="212529"/>
          <w:sz w:val="20"/>
          <w:szCs w:val="20"/>
          <w:vertAlign w:val="superscript"/>
        </w:rPr>
        <w:t>18 </w:t>
      </w:r>
      <w:r w:rsidRPr="008D3FFA">
        <w:rPr>
          <w:rFonts w:ascii="Arial" w:eastAsia="Times New Roman" w:hAnsi="Arial" w:cs="Arial"/>
          <w:b/>
          <w:bCs/>
          <w:color w:val="212529"/>
          <w:sz w:val="27"/>
          <w:szCs w:val="27"/>
        </w:rPr>
        <w:t>But you shall eat them before the Lord your God in the place which the Lord your God will choose, you and your son and daughter, and your male and female servants, and the Levite who is within your gates; and you shall rejoice before the Lord your God in all your undertakings. </w:t>
      </w:r>
      <w:r w:rsidRPr="008D3FFA">
        <w:rPr>
          <w:rFonts w:ascii="Arial" w:eastAsia="Times New Roman" w:hAnsi="Arial" w:cs="Arial"/>
          <w:b/>
          <w:bCs/>
          <w:color w:val="212529"/>
          <w:sz w:val="20"/>
          <w:szCs w:val="20"/>
          <w:vertAlign w:val="superscript"/>
        </w:rPr>
        <w:t>19 </w:t>
      </w:r>
      <w:r w:rsidRPr="008D3FFA">
        <w:rPr>
          <w:rFonts w:ascii="Arial" w:eastAsia="Times New Roman" w:hAnsi="Arial" w:cs="Arial"/>
          <w:b/>
          <w:bCs/>
          <w:color w:val="212529"/>
          <w:sz w:val="27"/>
          <w:szCs w:val="27"/>
        </w:rPr>
        <w:t>Be careful that you do not forsake the Levite as long as you live in your land.</w:t>
      </w:r>
    </w:p>
    <w:sectPr w:rsidR="003D4810" w:rsidRPr="008D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FA"/>
    <w:rsid w:val="003D4810"/>
    <w:rsid w:val="008D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FF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D3F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3FFA"/>
    <w:rPr>
      <w:i/>
      <w:iCs/>
    </w:rPr>
  </w:style>
  <w:style w:type="paragraph" w:styleId="NormalWeb">
    <w:name w:val="Normal (Web)"/>
    <w:basedOn w:val="Normal"/>
    <w:uiPriority w:val="99"/>
    <w:semiHidden/>
    <w:unhideWhenUsed/>
    <w:rsid w:val="008D3F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FFA"/>
    <w:rPr>
      <w:color w:val="0000FF"/>
      <w:u w:val="single"/>
    </w:rPr>
  </w:style>
  <w:style w:type="character" w:styleId="Strong">
    <w:name w:val="Strong"/>
    <w:basedOn w:val="DefaultParagraphFont"/>
    <w:uiPriority w:val="22"/>
    <w:qFormat/>
    <w:rsid w:val="008D3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3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FF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D3F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3FFA"/>
    <w:rPr>
      <w:i/>
      <w:iCs/>
    </w:rPr>
  </w:style>
  <w:style w:type="paragraph" w:styleId="NormalWeb">
    <w:name w:val="Normal (Web)"/>
    <w:basedOn w:val="Normal"/>
    <w:uiPriority w:val="99"/>
    <w:semiHidden/>
    <w:unhideWhenUsed/>
    <w:rsid w:val="008D3F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FFA"/>
    <w:rPr>
      <w:color w:val="0000FF"/>
      <w:u w:val="single"/>
    </w:rPr>
  </w:style>
  <w:style w:type="character" w:styleId="Strong">
    <w:name w:val="Strong"/>
    <w:basedOn w:val="DefaultParagraphFont"/>
    <w:uiPriority w:val="22"/>
    <w:qFormat/>
    <w:rsid w:val="008D3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30.3&amp;t=NASB95" TargetMode="External"/><Relationship Id="rId13" Type="http://schemas.openxmlformats.org/officeDocument/2006/relationships/hyperlink" Target="https://www.blueletterbible.org/search/preSearch.cfm?Criteria=Deuteronomy+12.1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18.15-18&amp;t=NASB95" TargetMode="External"/><Relationship Id="rId12" Type="http://schemas.openxmlformats.org/officeDocument/2006/relationships/hyperlink" Target="https://www.blueletterbible.org/search/preSearch.cfm?Criteria=Numbers+18.21-24&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xodus+13.2&amp;t=NASB95" TargetMode="External"/><Relationship Id="rId11" Type="http://schemas.openxmlformats.org/officeDocument/2006/relationships/hyperlink" Target="https://www.blueletterbible.org/search/preSearch.cfm?Criteria=Leviticus+7.14&amp;t=NASB95" TargetMode="External"/><Relationship Id="rId5" Type="http://schemas.openxmlformats.org/officeDocument/2006/relationships/hyperlink" Target="https://thebiblesays.com/commentary/deut/deut-12/deuteronomy-1217-19/"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Deuteronomy+12.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30.4&amp;t=NASB95" TargetMode="External"/><Relationship Id="rId14" Type="http://schemas.openxmlformats.org/officeDocument/2006/relationships/hyperlink" Target="https://www.blueletterbible.org/search/preSearch.cfm?Criteria=Deuteronomy+26.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2022-11-14T05:32:00Z</dcterms:created>
  <dcterms:modified xsi:type="dcterms:W3CDTF">2022-11-14T05:33:00Z</dcterms:modified>
</cp:coreProperties>
</file>